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AC" w:rsidRPr="008F7C38" w:rsidRDefault="00C045AC" w:rsidP="00E50ECD">
      <w:pPr>
        <w:pStyle w:val="Heading1"/>
        <w:spacing w:before="240" w:after="240"/>
        <w:jc w:val="both"/>
        <w:rPr>
          <w:sz w:val="22"/>
          <w:szCs w:val="22"/>
        </w:rPr>
      </w:pPr>
      <w:bookmarkStart w:id="0" w:name="_Toc524448728"/>
      <w:r w:rsidRPr="008F7C38">
        <w:rPr>
          <w:sz w:val="22"/>
          <w:szCs w:val="22"/>
        </w:rPr>
        <w:t>ИНФОРМАЦИЯ ДЛЯ КЛИЕНТОВ О РАБОТЕ БАНКА С ЖАЛОБАМИ КЛИЕНТОВ</w:t>
      </w:r>
    </w:p>
    <w:p w:rsidR="00C045AC" w:rsidRPr="008F7C38" w:rsidRDefault="00C045AC" w:rsidP="00751612">
      <w:pPr>
        <w:pStyle w:val="Heading1"/>
        <w:spacing w:before="240" w:after="120"/>
        <w:jc w:val="both"/>
        <w:rPr>
          <w:sz w:val="22"/>
          <w:szCs w:val="22"/>
        </w:rPr>
      </w:pPr>
      <w:r w:rsidRPr="008F7C38">
        <w:rPr>
          <w:sz w:val="22"/>
          <w:szCs w:val="22"/>
        </w:rPr>
        <w:t>СПОСОБЫ ОБРАЩЕНИЙ КЛИЕНТОВ</w:t>
      </w:r>
      <w:bookmarkEnd w:id="0"/>
      <w:r w:rsidRPr="008F7C38">
        <w:rPr>
          <w:sz w:val="22"/>
          <w:szCs w:val="22"/>
        </w:rPr>
        <w:t xml:space="preserve"> И ТРЕБОВАНИЯ БАНКА К ОФОРМЛЕНИЮ ЖАЛОБ КЛИЕНТМИ</w:t>
      </w:r>
    </w:p>
    <w:p w:rsidR="00C045AC" w:rsidRPr="008F7C38" w:rsidRDefault="00C045AC" w:rsidP="00E50ECD">
      <w:pPr>
        <w:pStyle w:val="ListParagraph"/>
        <w:tabs>
          <w:tab w:val="left" w:pos="567"/>
        </w:tabs>
        <w:ind w:left="0" w:firstLine="0"/>
        <w:rPr>
          <w:rFonts w:ascii="Times New Roman" w:hAnsi="Times New Roman"/>
          <w:sz w:val="22"/>
          <w:szCs w:val="22"/>
        </w:rPr>
      </w:pPr>
      <w:r w:rsidRPr="008F7C38">
        <w:rPr>
          <w:rFonts w:ascii="Times New Roman" w:hAnsi="Times New Roman"/>
          <w:sz w:val="22"/>
          <w:szCs w:val="22"/>
        </w:rPr>
        <w:t>Каждый клиент имеет право обратиться в Банк по интересующим его вопросам, как в письменной, так и в устной форме: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40" w:lineRule="auto"/>
        <w:ind w:left="80" w:firstLine="480"/>
        <w:rPr>
          <w:sz w:val="22"/>
          <w:szCs w:val="22"/>
        </w:rPr>
      </w:pPr>
      <w:r w:rsidRPr="008F7C38">
        <w:rPr>
          <w:sz w:val="22"/>
          <w:szCs w:val="22"/>
        </w:rPr>
        <w:t>лично;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40" w:lineRule="auto"/>
        <w:ind w:left="80" w:firstLine="480"/>
        <w:rPr>
          <w:sz w:val="22"/>
          <w:szCs w:val="22"/>
        </w:rPr>
      </w:pPr>
      <w:r w:rsidRPr="008F7C38">
        <w:rPr>
          <w:sz w:val="22"/>
          <w:szCs w:val="22"/>
        </w:rPr>
        <w:t>путем внесения записи в Книгу отзывов и предложений;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40" w:lineRule="auto"/>
        <w:ind w:left="80" w:firstLine="480"/>
        <w:rPr>
          <w:sz w:val="22"/>
          <w:szCs w:val="22"/>
        </w:rPr>
      </w:pPr>
      <w:r w:rsidRPr="008F7C38">
        <w:rPr>
          <w:sz w:val="22"/>
          <w:szCs w:val="22"/>
        </w:rPr>
        <w:t>отправив обращение почтовой или курьерской службой;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40" w:lineRule="auto"/>
        <w:ind w:left="80" w:firstLine="480"/>
        <w:rPr>
          <w:sz w:val="22"/>
          <w:szCs w:val="22"/>
        </w:rPr>
      </w:pPr>
      <w:r w:rsidRPr="008F7C38">
        <w:rPr>
          <w:sz w:val="22"/>
          <w:szCs w:val="22"/>
        </w:rPr>
        <w:t>направив обращение по факсу;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240" w:lineRule="auto"/>
        <w:ind w:left="851" w:hanging="291"/>
        <w:rPr>
          <w:sz w:val="22"/>
          <w:szCs w:val="22"/>
        </w:rPr>
      </w:pPr>
      <w:r w:rsidRPr="008F7C38">
        <w:rPr>
          <w:sz w:val="22"/>
          <w:szCs w:val="22"/>
        </w:rPr>
        <w:t>направив обращение по электронной почте в адрес Банка (</w:t>
      </w:r>
      <w:hyperlink r:id="rId5" w:history="1">
        <w:r w:rsidRPr="008F7C38">
          <w:rPr>
            <w:rStyle w:val="Hyperlink"/>
            <w:sz w:val="22"/>
            <w:szCs w:val="22"/>
          </w:rPr>
          <w:t>pochtobank@uralexpress.ru</w:t>
        </w:r>
      </w:hyperlink>
      <w:r w:rsidRPr="008F7C38">
        <w:rPr>
          <w:sz w:val="22"/>
          <w:szCs w:val="22"/>
        </w:rPr>
        <w:t>);</w:t>
      </w:r>
    </w:p>
    <w:p w:rsidR="00C045AC" w:rsidRPr="008F7C38" w:rsidRDefault="00C045AC" w:rsidP="00E50ECD">
      <w:pPr>
        <w:pStyle w:val="3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240" w:line="240" w:lineRule="auto"/>
        <w:ind w:left="79" w:firstLine="482"/>
        <w:rPr>
          <w:sz w:val="22"/>
          <w:szCs w:val="22"/>
        </w:rPr>
      </w:pPr>
      <w:r w:rsidRPr="008F7C38">
        <w:rPr>
          <w:sz w:val="22"/>
          <w:szCs w:val="22"/>
        </w:rPr>
        <w:t xml:space="preserve">направив обращение через </w:t>
      </w:r>
      <w:r w:rsidRPr="008F7C38">
        <w:rPr>
          <w:sz w:val="22"/>
          <w:szCs w:val="22"/>
          <w:lang w:val="en-US"/>
        </w:rPr>
        <w:t>Web</w:t>
      </w:r>
      <w:r w:rsidRPr="008F7C38">
        <w:rPr>
          <w:sz w:val="22"/>
          <w:szCs w:val="22"/>
        </w:rPr>
        <w:t xml:space="preserve"> -сайт Банка России.</w:t>
      </w:r>
    </w:p>
    <w:p w:rsidR="00C045AC" w:rsidRPr="008F7C38" w:rsidRDefault="00C045AC" w:rsidP="00751612">
      <w:pPr>
        <w:pStyle w:val="3"/>
        <w:shd w:val="clear" w:color="auto" w:fill="auto"/>
        <w:tabs>
          <w:tab w:val="left" w:pos="567"/>
        </w:tabs>
        <w:spacing w:before="0" w:after="120" w:line="240" w:lineRule="auto"/>
        <w:ind w:firstLine="0"/>
        <w:rPr>
          <w:sz w:val="22"/>
          <w:szCs w:val="22"/>
        </w:rPr>
      </w:pPr>
      <w:bookmarkStart w:id="1" w:name="_Toc497149133"/>
      <w:bookmarkEnd w:id="1"/>
      <w:r>
        <w:rPr>
          <w:b/>
          <w:sz w:val="22"/>
          <w:szCs w:val="22"/>
        </w:rPr>
        <w:t>О</w:t>
      </w:r>
      <w:r w:rsidRPr="008F7C38">
        <w:rPr>
          <w:b/>
          <w:sz w:val="22"/>
          <w:szCs w:val="22"/>
        </w:rPr>
        <w:t>ФОРМЛЕНИ</w:t>
      </w:r>
      <w:r>
        <w:rPr>
          <w:b/>
          <w:sz w:val="22"/>
          <w:szCs w:val="22"/>
        </w:rPr>
        <w:t xml:space="preserve">Е </w:t>
      </w:r>
      <w:r w:rsidRPr="008F7C38">
        <w:rPr>
          <w:b/>
          <w:sz w:val="22"/>
          <w:szCs w:val="22"/>
        </w:rPr>
        <w:t>И СОДЕРЖАНИ</w:t>
      </w:r>
      <w:r>
        <w:rPr>
          <w:b/>
          <w:sz w:val="22"/>
          <w:szCs w:val="22"/>
        </w:rPr>
        <w:t>Е</w:t>
      </w:r>
      <w:r w:rsidRPr="008F7C38">
        <w:rPr>
          <w:b/>
          <w:sz w:val="22"/>
          <w:szCs w:val="22"/>
        </w:rPr>
        <w:t xml:space="preserve"> ЖАЛОБ КЛИЕНТОВ</w:t>
      </w:r>
      <w:r w:rsidRPr="008F7C38">
        <w:rPr>
          <w:sz w:val="22"/>
          <w:szCs w:val="22"/>
        </w:rPr>
        <w:t>.</w:t>
      </w:r>
    </w:p>
    <w:p w:rsidR="00C045AC" w:rsidRPr="008F7C38" w:rsidRDefault="00C045AC" w:rsidP="00E50ECD">
      <w:pPr>
        <w:pStyle w:val="3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ind w:left="0" w:firstLine="360"/>
        <w:rPr>
          <w:sz w:val="20"/>
          <w:szCs w:val="20"/>
        </w:rPr>
      </w:pPr>
      <w:r w:rsidRPr="008F7C38">
        <w:rPr>
          <w:sz w:val="20"/>
          <w:szCs w:val="20"/>
        </w:rPr>
        <w:t xml:space="preserve">При направлении жалобы через </w:t>
      </w:r>
      <w:r w:rsidRPr="008F7C38">
        <w:rPr>
          <w:sz w:val="20"/>
          <w:szCs w:val="20"/>
          <w:lang w:val="en-US"/>
        </w:rPr>
        <w:t>Web</w:t>
      </w:r>
      <w:r w:rsidRPr="008F7C38">
        <w:rPr>
          <w:sz w:val="20"/>
          <w:szCs w:val="20"/>
        </w:rPr>
        <w:t xml:space="preserve"> -сайт Банка России   обращение клиента оформляется в соответствии с требованиями Банка России. </w:t>
      </w:r>
    </w:p>
    <w:p w:rsidR="00C045AC" w:rsidRPr="008F7C38" w:rsidRDefault="00C045AC" w:rsidP="00E50ECD">
      <w:pPr>
        <w:pStyle w:val="3"/>
        <w:shd w:val="clear" w:color="auto" w:fill="auto"/>
        <w:tabs>
          <w:tab w:val="left" w:pos="814"/>
        </w:tabs>
        <w:spacing w:before="0" w:after="0" w:line="240" w:lineRule="auto"/>
        <w:ind w:firstLine="0"/>
        <w:rPr>
          <w:sz w:val="20"/>
          <w:szCs w:val="20"/>
        </w:rPr>
      </w:pPr>
      <w:r w:rsidRPr="008F7C38">
        <w:rPr>
          <w:sz w:val="20"/>
          <w:szCs w:val="20"/>
        </w:rPr>
        <w:tab/>
        <w:t>При направлении обращений по электронной почте в адрес Банка (</w:t>
      </w:r>
      <w:hyperlink r:id="rId6" w:history="1">
        <w:r w:rsidRPr="008F7C38">
          <w:rPr>
            <w:rStyle w:val="Hyperlink"/>
            <w:sz w:val="20"/>
            <w:szCs w:val="20"/>
          </w:rPr>
          <w:t>pochtobank@uralexpress.ru</w:t>
        </w:r>
      </w:hyperlink>
      <w:r w:rsidRPr="008F7C38">
        <w:rPr>
          <w:sz w:val="20"/>
          <w:szCs w:val="20"/>
        </w:rPr>
        <w:t xml:space="preserve">), почтовой, курьерской службой, по факсу, путем внесения записи в Книгу отзывов и предложений или лично </w:t>
      </w:r>
      <w:r w:rsidRPr="008F7C38">
        <w:rPr>
          <w:b/>
          <w:sz w:val="20"/>
          <w:szCs w:val="20"/>
        </w:rPr>
        <w:t>жалоба клиента должна содержать</w:t>
      </w:r>
      <w:r w:rsidRPr="008F7C38">
        <w:rPr>
          <w:sz w:val="20"/>
          <w:szCs w:val="20"/>
        </w:rPr>
        <w:t>: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наименование ВСП/структурного подразделения или фамилию работника Банка действия (бездействие) которого обжалуются (при наличии такой информации);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изложение сути обращения (в т.ч. описание конфликтной ситуации, место и дата её возникновения, другие обстоятельства, необходимые для подтверждения и разрешения вопроса);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фамилию, имя, отчество заявителя для физического лица;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полное наименование для юридического лица;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адрес, по которому должен быть направлен ответ с указанием номера телефона для уточнения информации. Если клиенту достаточно устного ответа Банка, то указывается только номер его телефона;</w:t>
      </w:r>
    </w:p>
    <w:p w:rsidR="00C045AC" w:rsidRPr="008F7C38" w:rsidRDefault="00C045AC" w:rsidP="00E50ECD">
      <w:pPr>
        <w:pStyle w:val="3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8F7C38">
        <w:rPr>
          <w:sz w:val="20"/>
          <w:szCs w:val="20"/>
        </w:rPr>
        <w:t>личную подпись и дату.</w:t>
      </w:r>
    </w:p>
    <w:p w:rsidR="00C045AC" w:rsidRPr="008F7C38" w:rsidRDefault="00C045AC" w:rsidP="00E50ECD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360"/>
        <w:rPr>
          <w:sz w:val="20"/>
          <w:szCs w:val="20"/>
        </w:rPr>
      </w:pPr>
      <w:r w:rsidRPr="008F7C38">
        <w:rPr>
          <w:sz w:val="20"/>
          <w:szCs w:val="20"/>
        </w:rPr>
        <w:t>Жалоба, в которой отсутствуют фамилия (наименование - для организации), адрес/телефон и подпись заявителя, признается анонимной, и рассмотрению не подлежит.</w:t>
      </w:r>
    </w:p>
    <w:p w:rsidR="00C045AC" w:rsidRPr="008F7C38" w:rsidRDefault="00C045AC" w:rsidP="00E50ECD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360"/>
        <w:rPr>
          <w:sz w:val="20"/>
          <w:szCs w:val="20"/>
        </w:rPr>
      </w:pPr>
      <w:r w:rsidRPr="008F7C38">
        <w:rPr>
          <w:sz w:val="20"/>
          <w:szCs w:val="20"/>
        </w:rPr>
        <w:t>Жалоба, в которой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ней вопросов, а клиенту (организации), направившему жалобу, сообщается о недопустимости злоупотребления правом.</w:t>
      </w:r>
    </w:p>
    <w:p w:rsidR="00C045AC" w:rsidRPr="008F7C38" w:rsidRDefault="00C045AC" w:rsidP="00E50ECD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360"/>
        <w:rPr>
          <w:sz w:val="20"/>
          <w:szCs w:val="20"/>
        </w:rPr>
      </w:pPr>
      <w:r w:rsidRPr="008F7C38">
        <w:rPr>
          <w:sz w:val="20"/>
          <w:szCs w:val="20"/>
        </w:rPr>
        <w:t>В случае если текст жалобы не поддается прочтению, ответ на жалобу не дается, о чем сообщается клиенту, направившему жалобу, если его фамилия и адрес поддаются прочтению.</w:t>
      </w:r>
    </w:p>
    <w:p w:rsidR="00C045AC" w:rsidRPr="008F7C38" w:rsidRDefault="00C045AC" w:rsidP="00E50ECD">
      <w:pPr>
        <w:pStyle w:val="3"/>
        <w:numPr>
          <w:ilvl w:val="0"/>
          <w:numId w:val="11"/>
        </w:numPr>
        <w:shd w:val="clear" w:color="auto" w:fill="auto"/>
        <w:spacing w:before="0" w:after="0" w:line="240" w:lineRule="auto"/>
        <w:ind w:left="0" w:right="20" w:firstLine="360"/>
        <w:rPr>
          <w:sz w:val="20"/>
          <w:szCs w:val="20"/>
        </w:rPr>
      </w:pPr>
      <w:r w:rsidRPr="008F7C38">
        <w:rPr>
          <w:sz w:val="20"/>
          <w:szCs w:val="20"/>
        </w:rPr>
        <w:t>Не принимаются к рассмотрению жалобы клиентов в следующих случаях:</w:t>
      </w:r>
    </w:p>
    <w:p w:rsidR="00C045AC" w:rsidRPr="008F7C38" w:rsidRDefault="00C045AC" w:rsidP="00E50ECD">
      <w:pPr>
        <w:pStyle w:val="3"/>
        <w:numPr>
          <w:ilvl w:val="0"/>
          <w:numId w:val="8"/>
        </w:numPr>
        <w:shd w:val="clear" w:color="auto" w:fill="auto"/>
        <w:tabs>
          <w:tab w:val="left" w:pos="814"/>
        </w:tabs>
        <w:spacing w:before="0" w:after="0" w:line="240" w:lineRule="auto"/>
        <w:rPr>
          <w:sz w:val="20"/>
          <w:szCs w:val="20"/>
        </w:rPr>
      </w:pPr>
      <w:r w:rsidRPr="008F7C38">
        <w:rPr>
          <w:sz w:val="20"/>
          <w:szCs w:val="20"/>
        </w:rPr>
        <w:t xml:space="preserve">жалоба была подана ранее и повторное изложение не содержит новых данных, а по предыдущей жалобе уже был дан ответ. В таком случае клиенту направляется извещение об оставлении жалобы без рассмотрения со ссылкой на данный ранее ответ; </w:t>
      </w:r>
    </w:p>
    <w:p w:rsidR="00C045AC" w:rsidRPr="008F7C38" w:rsidRDefault="00C045AC" w:rsidP="00E50ECD">
      <w:pPr>
        <w:pStyle w:val="3"/>
        <w:numPr>
          <w:ilvl w:val="0"/>
          <w:numId w:val="8"/>
        </w:numPr>
        <w:shd w:val="clear" w:color="auto" w:fill="auto"/>
        <w:tabs>
          <w:tab w:val="left" w:pos="814"/>
        </w:tabs>
        <w:spacing w:before="0" w:after="0" w:line="240" w:lineRule="auto"/>
        <w:rPr>
          <w:sz w:val="20"/>
          <w:szCs w:val="20"/>
        </w:rPr>
      </w:pPr>
      <w:r w:rsidRPr="008F7C38">
        <w:rPr>
          <w:sz w:val="20"/>
          <w:szCs w:val="20"/>
        </w:rPr>
        <w:t>по данному вопросу уже было принято решение судом;</w:t>
      </w:r>
    </w:p>
    <w:p w:rsidR="00C045AC" w:rsidRPr="008F7C38" w:rsidRDefault="00C045AC" w:rsidP="00E50ECD">
      <w:pPr>
        <w:pStyle w:val="3"/>
        <w:numPr>
          <w:ilvl w:val="0"/>
          <w:numId w:val="8"/>
        </w:numPr>
        <w:shd w:val="clear" w:color="auto" w:fill="auto"/>
        <w:tabs>
          <w:tab w:val="left" w:pos="814"/>
        </w:tabs>
        <w:spacing w:before="0" w:after="0" w:line="240" w:lineRule="auto"/>
        <w:rPr>
          <w:sz w:val="20"/>
          <w:szCs w:val="20"/>
        </w:rPr>
      </w:pPr>
      <w:r w:rsidRPr="008F7C38">
        <w:rPr>
          <w:sz w:val="20"/>
          <w:szCs w:val="20"/>
        </w:rPr>
        <w:t>истекли сроки хранения документов, которых касается жалоба. В таком случае клиенту направляется извещение об оставлении жалобы без рассмотрения со ссылкой на отсутствие документов, позволяющих объективно рассмотреть указанную жалобу.</w:t>
      </w:r>
    </w:p>
    <w:p w:rsidR="00C045AC" w:rsidRPr="008F7C38" w:rsidRDefault="00C045AC" w:rsidP="00751612">
      <w:pPr>
        <w:pStyle w:val="3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0" w:right="23" w:firstLine="357"/>
        <w:rPr>
          <w:sz w:val="20"/>
          <w:szCs w:val="20"/>
        </w:rPr>
      </w:pPr>
      <w:r w:rsidRPr="008F7C38">
        <w:rPr>
          <w:sz w:val="20"/>
          <w:szCs w:val="20"/>
        </w:rPr>
        <w:t>К жалобе могут быть приложены копии документов, подтверждающие предъявляемые претензии.</w:t>
      </w:r>
    </w:p>
    <w:p w:rsidR="00C045AC" w:rsidRPr="008F7C38" w:rsidRDefault="00C045AC" w:rsidP="00751612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64" w:line="293" w:lineRule="exact"/>
        <w:ind w:left="0" w:right="20" w:firstLine="360"/>
        <w:jc w:val="both"/>
        <w:rPr>
          <w:rFonts w:ascii="Times New Roman" w:hAnsi="Times New Roman"/>
          <w:szCs w:val="20"/>
        </w:rPr>
      </w:pPr>
      <w:r w:rsidRPr="008F7C38">
        <w:rPr>
          <w:rFonts w:ascii="Times New Roman" w:hAnsi="Times New Roman"/>
          <w:szCs w:val="20"/>
        </w:rPr>
        <w:t>Если жалоба не допускается к рассмотрению по основаниям изложенным выше (пункты 2-5), Банк письменно (</w:t>
      </w:r>
      <w:r w:rsidRPr="008F7C38">
        <w:rPr>
          <w:rFonts w:ascii="Times New Roman" w:hAnsi="Times New Roman"/>
          <w:szCs w:val="20"/>
          <w:u w:val="single"/>
        </w:rPr>
        <w:t>при наличии такой возможности</w:t>
      </w:r>
      <w:r w:rsidRPr="008F7C38">
        <w:rPr>
          <w:rFonts w:ascii="Times New Roman" w:hAnsi="Times New Roman"/>
          <w:szCs w:val="20"/>
        </w:rPr>
        <w:t>) извещает клиента о невозможности рассмотрения жалобы, сообщает причины, на основании которых жалоба не допускается к рассмотрению, и способы устранения этих причин.</w:t>
      </w:r>
    </w:p>
    <w:p w:rsidR="00C045AC" w:rsidRPr="008F7C38" w:rsidRDefault="00C045AC" w:rsidP="00751612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64" w:line="293" w:lineRule="exact"/>
        <w:ind w:left="0" w:right="20" w:firstLine="360"/>
        <w:jc w:val="both"/>
        <w:rPr>
          <w:rFonts w:ascii="Times New Roman" w:hAnsi="Times New Roman"/>
          <w:szCs w:val="20"/>
        </w:rPr>
      </w:pPr>
      <w:r w:rsidRPr="008F7C38">
        <w:rPr>
          <w:rFonts w:ascii="Times New Roman" w:hAnsi="Times New Roman"/>
          <w:szCs w:val="20"/>
        </w:rPr>
        <w:t>Если в жалобе клиента указан только номер его телефона, то ответ на жалобу доводится до него в устной форме. В случае если клиент захочет получить письменный ответ Банка, он обязан сообщить свой почтовый адрес или адрес электронной почты.</w:t>
      </w:r>
    </w:p>
    <w:p w:rsidR="00C045AC" w:rsidRPr="008F7C38" w:rsidRDefault="00C045AC" w:rsidP="003D63E3">
      <w:pPr>
        <w:pStyle w:val="ListParagraph"/>
        <w:numPr>
          <w:ilvl w:val="0"/>
          <w:numId w:val="11"/>
        </w:numPr>
        <w:shd w:val="clear" w:color="auto" w:fill="FFFFFF"/>
        <w:tabs>
          <w:tab w:val="left" w:pos="284"/>
          <w:tab w:val="left" w:pos="709"/>
        </w:tabs>
        <w:suppressAutoHyphens/>
        <w:autoSpaceDE w:val="0"/>
        <w:spacing w:after="240" w:line="293" w:lineRule="exact"/>
        <w:ind w:left="0" w:right="23" w:firstLine="357"/>
        <w:contextualSpacing w:val="0"/>
        <w:jc w:val="both"/>
        <w:rPr>
          <w:rFonts w:ascii="Times New Roman" w:hAnsi="Times New Roman"/>
          <w:szCs w:val="20"/>
        </w:rPr>
      </w:pPr>
      <w:r w:rsidRPr="008F7C38">
        <w:rPr>
          <w:rFonts w:ascii="Times New Roman" w:hAnsi="Times New Roman"/>
          <w:szCs w:val="20"/>
        </w:rPr>
        <w:t>Общий срок принятой к рассмотрению жалобы устанавливается в пределах 30 календарных дней от даты ее регистрации в Журнале учета жалоб клиентов. Если окончательный ответ не дан в рамках общего срока рассмотрения жалобы, Банка доводит до клиента причину и срок, в который он может его дать.</w:t>
      </w:r>
    </w:p>
    <w:p w:rsidR="00C045AC" w:rsidRPr="008F7C38" w:rsidRDefault="00C045AC" w:rsidP="003D63E3">
      <w:pPr>
        <w:pStyle w:val="Heading1"/>
        <w:spacing w:before="240" w:after="120"/>
        <w:jc w:val="left"/>
        <w:rPr>
          <w:sz w:val="22"/>
          <w:szCs w:val="22"/>
        </w:rPr>
      </w:pPr>
      <w:bookmarkStart w:id="2" w:name="_Toc524448729"/>
      <w:r w:rsidRPr="008F7C38">
        <w:rPr>
          <w:sz w:val="22"/>
          <w:szCs w:val="22"/>
        </w:rPr>
        <w:t>ПОРЯДОК ВЕДЕНИЯ И ОФОРМЛЕНИЯ КНИГИ ОТЗЫВОВ И ПРЕДЛОЖЕНИЙ</w:t>
      </w:r>
      <w:bookmarkEnd w:id="2"/>
    </w:p>
    <w:p w:rsidR="00C045AC" w:rsidRPr="008F7C38" w:rsidRDefault="00C045AC" w:rsidP="00E50ECD">
      <w:pPr>
        <w:pStyle w:val="ListParagraph"/>
        <w:widowControl/>
        <w:tabs>
          <w:tab w:val="left" w:pos="567"/>
        </w:tabs>
        <w:spacing w:after="60"/>
        <w:ind w:left="0" w:firstLine="0"/>
        <w:contextualSpacing w:val="0"/>
        <w:jc w:val="both"/>
        <w:rPr>
          <w:rFonts w:ascii="Times New Roman" w:hAnsi="Times New Roman"/>
          <w:color w:val="auto"/>
          <w:sz w:val="16"/>
          <w:szCs w:val="16"/>
        </w:rPr>
      </w:pPr>
      <w:bookmarkStart w:id="3" w:name="_Toc497148919"/>
      <w:bookmarkStart w:id="4" w:name="_Toc497149127"/>
      <w:bookmarkStart w:id="5" w:name="_Toc497149203"/>
      <w:bookmarkStart w:id="6" w:name="_Toc497149241"/>
      <w:bookmarkStart w:id="7" w:name="_Toc497149412"/>
      <w:bookmarkStart w:id="8" w:name="_Toc497149441"/>
      <w:bookmarkStart w:id="9" w:name="_Toc497149471"/>
      <w:bookmarkStart w:id="10" w:name="_Toc497148920"/>
      <w:bookmarkStart w:id="11" w:name="_Toc497149128"/>
      <w:bookmarkStart w:id="12" w:name="_Toc497149204"/>
      <w:bookmarkStart w:id="13" w:name="_Toc497149242"/>
      <w:bookmarkStart w:id="14" w:name="_Toc497149413"/>
      <w:bookmarkStart w:id="15" w:name="_Toc497149442"/>
      <w:bookmarkStart w:id="16" w:name="_Toc49714947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F7C38">
        <w:rPr>
          <w:rFonts w:ascii="Times New Roman" w:hAnsi="Times New Roman"/>
          <w:color w:val="auto"/>
          <w:sz w:val="16"/>
          <w:szCs w:val="16"/>
        </w:rPr>
        <w:t>Книги отзывов и предложений находятся во всех ВСП Банка, и предоставляются по первому требованию клиента.</w:t>
      </w:r>
    </w:p>
    <w:p w:rsidR="00C045AC" w:rsidRPr="008F7C38" w:rsidRDefault="00C045AC" w:rsidP="00E50ECD">
      <w:pPr>
        <w:pStyle w:val="ListParagraph"/>
        <w:widowControl/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/>
          <w:color w:val="auto"/>
          <w:sz w:val="16"/>
          <w:szCs w:val="16"/>
        </w:rPr>
      </w:pPr>
      <w:r w:rsidRPr="008F7C38">
        <w:rPr>
          <w:rFonts w:ascii="Times New Roman" w:hAnsi="Times New Roman"/>
          <w:color w:val="auto"/>
          <w:sz w:val="16"/>
          <w:szCs w:val="16"/>
        </w:rPr>
        <w:t>Правила оформления Книги отзывов и предложений:</w:t>
      </w:r>
    </w:p>
    <w:p w:rsidR="00C045AC" w:rsidRPr="008F7C38" w:rsidRDefault="00C045AC" w:rsidP="00E50ECD">
      <w:pPr>
        <w:pStyle w:val="ListParagraph"/>
        <w:widowControl/>
        <w:numPr>
          <w:ilvl w:val="0"/>
          <w:numId w:val="5"/>
        </w:numPr>
        <w:tabs>
          <w:tab w:val="left" w:pos="709"/>
        </w:tabs>
        <w:contextualSpacing w:val="0"/>
        <w:jc w:val="both"/>
        <w:rPr>
          <w:rFonts w:ascii="Times New Roman" w:hAnsi="Times New Roman"/>
          <w:color w:val="auto"/>
          <w:sz w:val="16"/>
          <w:szCs w:val="16"/>
        </w:rPr>
      </w:pPr>
      <w:r w:rsidRPr="008F7C38">
        <w:rPr>
          <w:rFonts w:ascii="Times New Roman" w:hAnsi="Times New Roman"/>
          <w:color w:val="auto"/>
          <w:sz w:val="16"/>
          <w:szCs w:val="16"/>
        </w:rPr>
        <w:t>на первой странице должно быть размещено наименование Банка и ВСП, которое ведет данную Книгу отзывов и предложений (можно использовать штамп ВСП, который содержит необходимую информацию);</w:t>
      </w:r>
    </w:p>
    <w:p w:rsidR="00C045AC" w:rsidRDefault="00C045AC" w:rsidP="00E50ECD">
      <w:pPr>
        <w:pStyle w:val="ListParagraph"/>
        <w:widowControl/>
        <w:numPr>
          <w:ilvl w:val="0"/>
          <w:numId w:val="5"/>
        </w:numPr>
        <w:tabs>
          <w:tab w:val="left" w:pos="709"/>
        </w:tabs>
        <w:spacing w:after="60"/>
        <w:ind w:left="714" w:hanging="357"/>
        <w:contextualSpacing w:val="0"/>
        <w:jc w:val="both"/>
        <w:rPr>
          <w:rFonts w:ascii="Times New Roman" w:hAnsi="Times New Roman"/>
          <w:color w:val="auto"/>
          <w:sz w:val="16"/>
          <w:szCs w:val="16"/>
        </w:rPr>
      </w:pPr>
      <w:r w:rsidRPr="008F7C38">
        <w:rPr>
          <w:rFonts w:ascii="Times New Roman" w:hAnsi="Times New Roman"/>
          <w:color w:val="auto"/>
          <w:sz w:val="16"/>
          <w:szCs w:val="16"/>
        </w:rPr>
        <w:t>Книга отзывов и предложений должна быть прошнурована, все страницы должны быть пронумерованы. Заверительная надпись о количестве листов заверяется начальником ОКО и скрепляется оттиском печати «Для документов №2».</w:t>
      </w:r>
    </w:p>
    <w:sectPr w:rsidR="00C045AC" w:rsidSect="008F7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2A"/>
    <w:multiLevelType w:val="hybridMultilevel"/>
    <w:tmpl w:val="3E324DAA"/>
    <w:lvl w:ilvl="0" w:tplc="718A4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C49A5"/>
    <w:multiLevelType w:val="hybridMultilevel"/>
    <w:tmpl w:val="0B645CDA"/>
    <w:lvl w:ilvl="0" w:tplc="68F4C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566B"/>
    <w:multiLevelType w:val="multilevel"/>
    <w:tmpl w:val="28C46B8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78E0076"/>
    <w:multiLevelType w:val="hybridMultilevel"/>
    <w:tmpl w:val="BE60E49A"/>
    <w:lvl w:ilvl="0" w:tplc="031E0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A10B6F"/>
    <w:multiLevelType w:val="hybridMultilevel"/>
    <w:tmpl w:val="6AB8AA4A"/>
    <w:lvl w:ilvl="0" w:tplc="7938F342">
      <w:start w:val="2"/>
      <w:numFmt w:val="decimal"/>
      <w:lvlText w:val="4.2.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B7B5C"/>
    <w:multiLevelType w:val="hybridMultilevel"/>
    <w:tmpl w:val="B4165E06"/>
    <w:lvl w:ilvl="0" w:tplc="13620072">
      <w:start w:val="1"/>
      <w:numFmt w:val="decimal"/>
      <w:lvlText w:val="4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3F5060"/>
    <w:multiLevelType w:val="hybridMultilevel"/>
    <w:tmpl w:val="11540EE8"/>
    <w:lvl w:ilvl="0" w:tplc="031E0B1C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EBA6F278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929D1"/>
    <w:multiLevelType w:val="hybridMultilevel"/>
    <w:tmpl w:val="D672543C"/>
    <w:lvl w:ilvl="0" w:tplc="68F4C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4454E"/>
    <w:multiLevelType w:val="multilevel"/>
    <w:tmpl w:val="35CE9C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4.1.%3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6E1C6748"/>
    <w:multiLevelType w:val="multilevel"/>
    <w:tmpl w:val="EF9AB0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A639E9"/>
    <w:multiLevelType w:val="hybridMultilevel"/>
    <w:tmpl w:val="CB889E1E"/>
    <w:lvl w:ilvl="0" w:tplc="68F4C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46B33"/>
    <w:multiLevelType w:val="hybridMultilevel"/>
    <w:tmpl w:val="F182A7FE"/>
    <w:lvl w:ilvl="0" w:tplc="DEDEAB38">
      <w:start w:val="1"/>
      <w:numFmt w:val="decimal"/>
      <w:lvlText w:val="3.%1."/>
      <w:lvlJc w:val="left"/>
      <w:pPr>
        <w:ind w:left="74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93A54"/>
    <w:multiLevelType w:val="hybridMultilevel"/>
    <w:tmpl w:val="FC480C94"/>
    <w:lvl w:ilvl="0" w:tplc="816CA316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CD"/>
    <w:rsid w:val="00294A7A"/>
    <w:rsid w:val="003D63E3"/>
    <w:rsid w:val="00654A66"/>
    <w:rsid w:val="00751612"/>
    <w:rsid w:val="00760305"/>
    <w:rsid w:val="008461CA"/>
    <w:rsid w:val="008F7C38"/>
    <w:rsid w:val="00A50443"/>
    <w:rsid w:val="00AA148D"/>
    <w:rsid w:val="00BD759D"/>
    <w:rsid w:val="00C045AC"/>
    <w:rsid w:val="00CA268C"/>
    <w:rsid w:val="00D51C52"/>
    <w:rsid w:val="00E35C3C"/>
    <w:rsid w:val="00E50ECD"/>
    <w:rsid w:val="00F9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5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EC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ECD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0ECD"/>
    <w:pPr>
      <w:widowControl w:val="0"/>
      <w:spacing w:after="0" w:line="240" w:lineRule="auto"/>
      <w:ind w:left="720" w:firstLine="709"/>
      <w:contextualSpacing/>
    </w:pPr>
    <w:rPr>
      <w:rFonts w:eastAsia="Times New Roman"/>
      <w:color w:val="000000"/>
      <w:sz w:val="20"/>
      <w:szCs w:val="24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50EC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50ECD"/>
    <w:pPr>
      <w:widowControl w:val="0"/>
      <w:shd w:val="clear" w:color="auto" w:fill="FFFFFF"/>
      <w:spacing w:before="180" w:after="60" w:line="274" w:lineRule="exact"/>
      <w:ind w:hanging="480"/>
      <w:jc w:val="both"/>
    </w:pPr>
    <w:rPr>
      <w:rFonts w:ascii="Times New Roman" w:hAnsi="Times New Roman"/>
      <w:spacing w:val="3"/>
      <w:sz w:val="21"/>
      <w:szCs w:val="21"/>
    </w:rPr>
  </w:style>
  <w:style w:type="character" w:styleId="Hyperlink">
    <w:name w:val="Hyperlink"/>
    <w:basedOn w:val="DefaultParagraphFont"/>
    <w:uiPriority w:val="99"/>
    <w:rsid w:val="00E50ECD"/>
    <w:rPr>
      <w:rFonts w:cs="Times New Roman"/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obank@uralexpress.ru" TargetMode="External"/><Relationship Id="rId5" Type="http://schemas.openxmlformats.org/officeDocument/2006/relationships/hyperlink" Target="mailto:pochtobank@uralexpr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655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КЛИЕНТОВ О РАБОТЕ БАНКА С ЖАЛОБАМИ КЛИЕНТОВ</dc:title>
  <dc:subject/>
  <dc:creator>Кривенко Инга Владимировна</dc:creator>
  <cp:keywords/>
  <dc:description/>
  <cp:lastModifiedBy>NOSKOVA</cp:lastModifiedBy>
  <cp:revision>3</cp:revision>
  <cp:lastPrinted>2019-02-12T10:46:00Z</cp:lastPrinted>
  <dcterms:created xsi:type="dcterms:W3CDTF">2019-02-12T10:46:00Z</dcterms:created>
  <dcterms:modified xsi:type="dcterms:W3CDTF">2019-02-15T07:15:00Z</dcterms:modified>
</cp:coreProperties>
</file>